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д.14, Казенное учреждение Ханты-Мансийского автономного округа –Югры «Мегионский центр занятости </w:t>
      </w:r>
      <w:r>
        <w:rPr>
          <w:rFonts w:eastAsiaTheme="minorEastAsia" w:cs="Times New Roman"/>
          <w:sz w:val="28"/>
          <w:szCs w:val="28"/>
          <w:lang w:eastAsia="ru-RU"/>
        </w:rPr>
        <w:t>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04E04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364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642E31" w:rsidP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Theme="minorEastAsia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декабря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«Академия питания»</w:t>
            </w:r>
          </w:p>
        </w:tc>
        <w:tc>
          <w:tcPr>
            <w:tcW w:w="2532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202 320</w:t>
            </w:r>
            <w:r>
              <w:rPr>
                <w:color w:val="000000"/>
                <w:sz w:val="28"/>
                <w:szCs w:val="28"/>
              </w:rPr>
              <w:t>,00 (двести две тысячи триста двадцать</w:t>
            </w:r>
            <w:r>
              <w:rPr>
                <w:color w:val="000000"/>
                <w:sz w:val="28"/>
                <w:szCs w:val="28"/>
              </w:rPr>
              <w:t>)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404E04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404E04" w:rsidRDefault="00642E31" w:rsidP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Дидикин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2532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404E04" w:rsidRDefault="00642E31">
            <w:pPr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84 300,00</w:t>
            </w:r>
            <w:r>
              <w:rPr>
                <w:sz w:val="28"/>
                <w:szCs w:val="28"/>
              </w:rPr>
              <w:t xml:space="preserve"> (восемьдесят четыре тысячи триста</w:t>
            </w:r>
            <w:r>
              <w:rPr>
                <w:sz w:val="28"/>
                <w:szCs w:val="28"/>
              </w:rPr>
              <w:t>) рублей.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404E04"/>
    <w:rsid w:val="0064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155</cp:revision>
  <cp:lastPrinted>2021-04-02T10:00:00Z</cp:lastPrinted>
  <dcterms:created xsi:type="dcterms:W3CDTF">2016-05-27T04:49:00Z</dcterms:created>
  <dcterms:modified xsi:type="dcterms:W3CDTF">2024-06-17T07:44:00Z</dcterms:modified>
</cp:coreProperties>
</file>