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33003">
        <w:rPr>
          <w:rFonts w:ascii="Times New Roman" w:hAnsi="Times New Roman" w:cs="Times New Roman"/>
          <w:color w:val="000000"/>
          <w:sz w:val="28"/>
          <w:szCs w:val="28"/>
        </w:rPr>
        <w:t>17 марта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F3300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00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8718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18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C8718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18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7207E" w:rsidRPr="004512B6" w:rsidRDefault="0017207E" w:rsidP="0017207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E125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7207E" w:rsidRPr="004E09BB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BD057C" w:rsidRDefault="0017207E" w:rsidP="0017207E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4512B6" w:rsidRDefault="0017207E" w:rsidP="00172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96435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96435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96435">
        <w:rPr>
          <w:rFonts w:ascii="Times New Roman" w:hAnsi="Times New Roman" w:cs="Times New Roman"/>
          <w:sz w:val="28"/>
          <w:szCs w:val="28"/>
        </w:rPr>
        <w:t xml:space="preserve">от </w:t>
      </w:r>
      <w:r w:rsidR="00296435" w:rsidRPr="00296435">
        <w:rPr>
          <w:rFonts w:ascii="Times New Roman" w:hAnsi="Times New Roman" w:cs="Times New Roman"/>
          <w:sz w:val="28"/>
          <w:szCs w:val="28"/>
        </w:rPr>
        <w:t>24.12.2021 года № 578-п</w:t>
      </w:r>
      <w:r w:rsidRPr="00296435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BA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A16BA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="000A16BA" w:rsidRPr="000A16BA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7207E" w:rsidRPr="00AE65D7" w:rsidRDefault="0017207E" w:rsidP="0017207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7207E" w:rsidRDefault="0017207E" w:rsidP="0017207E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7207E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7207E" w:rsidP="0017207E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207E"/>
    <w:rsid w:val="00197AD6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7A6A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BD7C56"/>
    <w:rsid w:val="00C3727D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65A8A"/>
    <w:rsid w:val="00E83A65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8E55-2C1A-45E1-A410-2E6D3634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17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77</cp:revision>
  <dcterms:created xsi:type="dcterms:W3CDTF">2014-03-05T03:51:00Z</dcterms:created>
  <dcterms:modified xsi:type="dcterms:W3CDTF">2022-03-02T04:42:00Z</dcterms:modified>
</cp:coreProperties>
</file>