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45" w:rsidRDefault="004D3B88" w:rsidP="00EB13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230823" w:rsidRDefault="004D3B88" w:rsidP="00EB13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</w:t>
      </w:r>
      <w:r w:rsidR="00EB13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роприятий </w:t>
      </w:r>
    </w:p>
    <w:p w:rsidR="00A15CC2" w:rsidRDefault="00EB1345" w:rsidP="004D3B88">
      <w:pPr>
        <w:spacing w:after="0" w:line="240" w:lineRule="auto"/>
        <w:jc w:val="center"/>
        <w:outlineLvl w:val="2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15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</w:t>
      </w:r>
      <w:r w:rsidR="0023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временного трудоустройства граждан </w:t>
      </w:r>
      <w:r w:rsidR="004D5A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пенсио</w:t>
      </w:r>
      <w:r w:rsidR="0023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нного возраста»</w:t>
      </w:r>
      <w:r w:rsidR="00A15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A15CC2" w:rsidRPr="00A15CC2">
        <w:t xml:space="preserve"> </w:t>
      </w:r>
    </w:p>
    <w:p w:rsidR="007F1E5F" w:rsidRPr="007F1E5F" w:rsidRDefault="007F1E5F" w:rsidP="004D3B8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F1E5F">
        <w:rPr>
          <w:rFonts w:ascii="Times New Roman" w:hAnsi="Times New Roman" w:cs="Times New Roman"/>
          <w:b/>
          <w:bCs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граждан»,</w:t>
      </w:r>
    </w:p>
    <w:p w:rsidR="00A15CC2" w:rsidRDefault="00A15CC2" w:rsidP="004D3B88">
      <w:pPr>
        <w:spacing w:after="0" w:line="240" w:lineRule="auto"/>
        <w:jc w:val="center"/>
        <w:outlineLvl w:val="2"/>
      </w:pPr>
      <w:r w:rsidRPr="00A15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A15CC2">
        <w:t xml:space="preserve"> </w:t>
      </w:r>
    </w:p>
    <w:p w:rsidR="00230823" w:rsidRPr="003F1A21" w:rsidRDefault="00A15CC2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6F6BB0" w:rsidRDefault="00EB1345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Территориальным центром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г. Белоярский и Белоярскому району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0823" w:rsidRPr="00EB1345" w:rsidRDefault="00553B27" w:rsidP="00EB1345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3B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 временного трудоустройства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53B27" w:rsidRDefault="00553B27" w:rsidP="00553B27">
      <w:pPr>
        <w:pStyle w:val="a5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41B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граждан  пенсионного возраста».</w:t>
      </w:r>
    </w:p>
    <w:p w:rsidR="007F1E5F" w:rsidRPr="007F1E5F" w:rsidRDefault="007F1E5F" w:rsidP="007F1E5F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E5F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граждан».</w:t>
      </w:r>
    </w:p>
    <w:p w:rsidR="00553B27" w:rsidRPr="00553B27" w:rsidRDefault="00553B27" w:rsidP="00553B27">
      <w:pPr>
        <w:pStyle w:val="a5"/>
        <w:spacing w:after="0" w:line="360" w:lineRule="auto"/>
        <w:ind w:left="107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3B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Мероприятия постоянного трудоустройства граждан: </w:t>
      </w:r>
    </w:p>
    <w:p w:rsidR="006F6BB0" w:rsidRPr="00553B27" w:rsidRDefault="006F6BB0" w:rsidP="00553B27">
      <w:pPr>
        <w:pStyle w:val="a5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B27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места».</w:t>
      </w:r>
    </w:p>
    <w:p w:rsidR="00230823" w:rsidRPr="00553B27" w:rsidRDefault="006F6BB0" w:rsidP="00553B27">
      <w:pPr>
        <w:pStyle w:val="a5"/>
        <w:numPr>
          <w:ilvl w:val="0"/>
          <w:numId w:val="4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Hlk179289607"/>
      <w:r w:rsidR="00610E68">
        <w:rPr>
          <w:rFonts w:ascii="Times New Roman" w:hAnsi="Times New Roman" w:cs="Times New Roman"/>
          <w:color w:val="000000"/>
          <w:sz w:val="28"/>
          <w:szCs w:val="28"/>
        </w:rPr>
        <w:t>с 09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</w:t>
      </w:r>
      <w:r w:rsidR="00610E68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BD5944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298">
        <w:rPr>
          <w:rFonts w:ascii="Times New Roman" w:hAnsi="Times New Roman" w:cs="Times New Roman"/>
          <w:color w:val="000000"/>
          <w:sz w:val="28"/>
          <w:szCs w:val="28"/>
        </w:rPr>
        <w:t xml:space="preserve">октября </w:t>
      </w:r>
      <w:r w:rsidR="006F6BB0" w:rsidRPr="00A15CC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D5944" w:rsidRPr="00A15C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</w:t>
      </w:r>
      <w:r w:rsidR="00A15CC2" w:rsidRPr="00A15CC2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BD5944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5CC2" w:rsidRPr="00A15CC2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EB1345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6BB0" w:rsidRPr="00A15CC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D5944" w:rsidRPr="00A15CC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F6BB0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B3912" w:rsidRPr="00A15C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5CC2" w:rsidRDefault="00A15CC2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End w:id="0"/>
    <w:p w:rsidR="00A15CC2" w:rsidRDefault="00A15CC2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BB0" w:rsidRPr="00D11451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628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162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Ханты-Мансийский автономный округ – Югра, г.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микрорайон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дом </w:t>
      </w:r>
      <w:r w:rsidR="00FB391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proofErr w:type="spellEnd"/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D11451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FB3912" w:rsidRPr="00FB39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тел: (3467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11451" w:rsidRPr="00D11451">
        <w:rPr>
          <w:rFonts w:ascii="Times New Roman" w:hAnsi="Times New Roman" w:cs="Times New Roman"/>
          <w:color w:val="000000"/>
          <w:sz w:val="28"/>
          <w:szCs w:val="28"/>
        </w:rPr>
        <w:t xml:space="preserve"> 2-18-74</w:t>
      </w:r>
    </w:p>
    <w:p w:rsidR="0063741B" w:rsidRPr="00D649F5" w:rsidRDefault="000603E2" w:rsidP="006374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A15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D5944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трудоустройства граждан</w:t>
      </w:r>
      <w:r w:rsidR="00381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41B">
        <w:rPr>
          <w:rFonts w:ascii="Times New Roman" w:hAnsi="Times New Roman" w:cs="Times New Roman"/>
          <w:color w:val="000000"/>
          <w:sz w:val="28"/>
          <w:szCs w:val="28"/>
        </w:rPr>
        <w:t>и п</w:t>
      </w:r>
      <w:r w:rsidR="0063741B" w:rsidRPr="00D649F5">
        <w:rPr>
          <w:rFonts w:ascii="Times New Roman" w:hAnsi="Times New Roman" w:cs="Times New Roman"/>
          <w:color w:val="000000"/>
          <w:sz w:val="28"/>
          <w:szCs w:val="28"/>
        </w:rPr>
        <w:t>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BD5944" w:rsidRPr="00381C57" w:rsidRDefault="00BD5944" w:rsidP="00381C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E36" w:rsidRDefault="006F6BB0" w:rsidP="006374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CC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A15CC2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C57" w:rsidRPr="00A15CC2">
        <w:rPr>
          <w:rFonts w:ascii="Times New Roman" w:hAnsi="Times New Roman" w:cs="Times New Roman"/>
          <w:color w:val="000000"/>
          <w:sz w:val="28"/>
          <w:szCs w:val="28"/>
        </w:rPr>
        <w:t>пост</w:t>
      </w:r>
      <w:r w:rsidR="0063741B" w:rsidRPr="00A15CC2">
        <w:rPr>
          <w:rFonts w:ascii="Times New Roman" w:hAnsi="Times New Roman" w:cs="Times New Roman"/>
          <w:color w:val="000000"/>
          <w:sz w:val="28"/>
          <w:szCs w:val="28"/>
        </w:rPr>
        <w:t>оянного трудоустройства граждан и показателем</w:t>
      </w:r>
      <w:r w:rsidR="00B84E36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 для достижения результата предоставления субсидии является количество оснащенных (</w:t>
      </w:r>
      <w:r w:rsidR="007C770C" w:rsidRPr="00A15CC2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="00B84E36" w:rsidRPr="00A15CC2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инвалидов, родителей, женщин </w:t>
      </w:r>
      <w:r w:rsidR="007C770C" w:rsidRPr="00A15CC2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 w:rsidR="00B84E36" w:rsidRPr="00A15CC2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A15C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A15CC2" w:rsidRPr="00BB4274">
          <w:rPr>
            <w:rStyle w:val="a6"/>
            <w:rFonts w:ascii="Times New Roman" w:hAnsi="Times New Roman" w:cs="Times New Roman"/>
            <w:sz w:val="28"/>
            <w:szCs w:val="28"/>
          </w:rPr>
  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  </w:r>
      </w:hyperlink>
      <w:r w:rsidR="00A15CC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15CC2" w:rsidRDefault="00A15CC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40E2" w:rsidRPr="00AB40E2" w:rsidRDefault="00AB40E2" w:rsidP="00A15CC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="00A15CC2">
        <w:rPr>
          <w:rFonts w:ascii="Times New Roman" w:hAnsi="Times New Roman" w:cs="Times New Roman"/>
          <w:sz w:val="28"/>
          <w:szCs w:val="28"/>
        </w:rPr>
        <w:t>с</w:t>
      </w:r>
      <w:r w:rsidRPr="00AB40E2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EB1345" w:rsidRDefault="00EB1345" w:rsidP="00381C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345" w:rsidRDefault="00EB1345" w:rsidP="00381C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345" w:rsidRDefault="00EB1345" w:rsidP="00381C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C57" w:rsidRPr="00553B27" w:rsidRDefault="00381C57" w:rsidP="00381C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</w:rPr>
      </w:pPr>
      <w:r w:rsidRPr="00553B27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 w:rsidRPr="00553B27">
        <w:rPr>
          <w:rFonts w:ascii="Times New Roman" w:hAnsi="Times New Roman" w:cs="Times New Roman"/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553B27">
        <w:rPr>
          <w:rFonts w:ascii="Times New Roman" w:hAnsi="Times New Roman" w:cs="Times New Roman"/>
          <w:sz w:val="28"/>
          <w:szCs w:val="28"/>
        </w:rPr>
        <w:t>».</w:t>
      </w:r>
    </w:p>
    <w:p w:rsidR="00AB40E2" w:rsidRDefault="00AB40E2" w:rsidP="00A15C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381C57" w:rsidRPr="00AB40E2" w:rsidRDefault="00381C57" w:rsidP="00381C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5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должен находиться в перечне организаций и физических лиц,</w:t>
      </w:r>
      <w:r>
        <w:rPr>
          <w:rFonts w:ascii="Times New Roman" w:hAnsi="Times New Roman" w:cs="Times New Roman"/>
          <w:sz w:val="28"/>
          <w:szCs w:val="28"/>
        </w:rPr>
        <w:br/>
        <w:t>в отношении которых имеются сведения об их причастности</w:t>
      </w:r>
      <w:r>
        <w:rPr>
          <w:rFonts w:ascii="Times New Roman" w:hAnsi="Times New Roman" w:cs="Times New Roman"/>
          <w:sz w:val="28"/>
          <w:szCs w:val="28"/>
        </w:rPr>
        <w:br/>
        <w:t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уничтожения;».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EB1345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</w:t>
      </w:r>
    </w:p>
    <w:p w:rsidR="00EB1345" w:rsidRDefault="00EB1345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lastRenderedPageBreak/>
        <w:t>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2E1298" w:rsidRDefault="002E1298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298" w:rsidRDefault="002E1298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A65" w:rsidRDefault="005A4669" w:rsidP="002E12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2E1298" w:rsidRDefault="002E1298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EB1345" w:rsidRDefault="00EB1345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345" w:rsidRDefault="00EB1345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2E1298" w:rsidRPr="002E1298" w:rsidRDefault="00610E68" w:rsidP="002E129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09</w:t>
      </w:r>
      <w:r w:rsidR="006C2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 минут 01</w:t>
      </w:r>
      <w:bookmarkStart w:id="4" w:name="_GoBack"/>
      <w:bookmarkEnd w:id="4"/>
      <w:r w:rsidR="002E1298" w:rsidRPr="002E1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 2024 года до 16 часов 00 минут 25 декабря 2024 года. 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97D25">
        <w:rPr>
          <w:rFonts w:ascii="Times New Roman" w:eastAsia="Times New Roman" w:hAnsi="Times New Roman" w:cs="Times New Roman"/>
          <w:color w:val="000000"/>
          <w:sz w:val="28"/>
          <w:szCs w:val="28"/>
        </w:rPr>
        <w:t>2-18-74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едином портале (при наличии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EB13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849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EB134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1345">
        <w:rPr>
          <w:rFonts w:ascii="Times New Roman" w:hAnsi="Times New Roman" w:cs="Times New Roman"/>
          <w:sz w:val="28"/>
          <w:szCs w:val="28"/>
        </w:rPr>
        <w:t>Территориального центра занятости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7C770C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____________</w:t>
      </w:r>
      <w:r w:rsidRPr="007C770C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7C770C">
        <w:rPr>
          <w:rFonts w:ascii="Times New Roman" w:hAnsi="Times New Roman" w:cs="Times New Roman"/>
          <w:sz w:val="28"/>
          <w:szCs w:val="28"/>
        </w:rPr>
        <w:t>21</w:t>
      </w:r>
      <w:r w:rsidRPr="007C77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</w:t>
      </w:r>
      <w:r w:rsidRPr="007C770C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F97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F97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F97D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95110" w:rsidRDefault="00BD057C" w:rsidP="003316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909"/>
      <w:bookmarkEnd w:id="5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CB" w:rsidRDefault="004C64CB" w:rsidP="00A15CC2">
      <w:pPr>
        <w:spacing w:after="0" w:line="240" w:lineRule="auto"/>
      </w:pPr>
      <w:r>
        <w:separator/>
      </w:r>
    </w:p>
  </w:endnote>
  <w:endnote w:type="continuationSeparator" w:id="0">
    <w:p w:rsidR="004C64CB" w:rsidRDefault="004C64CB" w:rsidP="00A1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CB" w:rsidRDefault="004C64CB" w:rsidP="00A15CC2">
      <w:pPr>
        <w:spacing w:after="0" w:line="240" w:lineRule="auto"/>
      </w:pPr>
      <w:r>
        <w:separator/>
      </w:r>
    </w:p>
  </w:footnote>
  <w:footnote w:type="continuationSeparator" w:id="0">
    <w:p w:rsidR="004C64CB" w:rsidRDefault="004C64CB" w:rsidP="00A1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C2" w:rsidRDefault="00A15C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4B7"/>
    <w:multiLevelType w:val="hybridMultilevel"/>
    <w:tmpl w:val="91D66366"/>
    <w:lvl w:ilvl="0" w:tplc="B21E9AF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C6CC7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A8D00B8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26B62"/>
    <w:rsid w:val="00230823"/>
    <w:rsid w:val="00235C4D"/>
    <w:rsid w:val="00236398"/>
    <w:rsid w:val="00244480"/>
    <w:rsid w:val="002A280C"/>
    <w:rsid w:val="002B16E9"/>
    <w:rsid w:val="002C6013"/>
    <w:rsid w:val="002D6C92"/>
    <w:rsid w:val="002E1298"/>
    <w:rsid w:val="00307CA8"/>
    <w:rsid w:val="00311859"/>
    <w:rsid w:val="00331614"/>
    <w:rsid w:val="0034280A"/>
    <w:rsid w:val="003637CD"/>
    <w:rsid w:val="00371614"/>
    <w:rsid w:val="00381C57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A6990"/>
    <w:rsid w:val="004B083E"/>
    <w:rsid w:val="004C64CB"/>
    <w:rsid w:val="004D3B88"/>
    <w:rsid w:val="004D5A28"/>
    <w:rsid w:val="004D6A65"/>
    <w:rsid w:val="004E776B"/>
    <w:rsid w:val="005411E7"/>
    <w:rsid w:val="00553B27"/>
    <w:rsid w:val="00555787"/>
    <w:rsid w:val="00574235"/>
    <w:rsid w:val="005A44BA"/>
    <w:rsid w:val="005A4669"/>
    <w:rsid w:val="005B7A69"/>
    <w:rsid w:val="005B7DB8"/>
    <w:rsid w:val="005C78E0"/>
    <w:rsid w:val="005D5813"/>
    <w:rsid w:val="00603239"/>
    <w:rsid w:val="00610E68"/>
    <w:rsid w:val="0063741B"/>
    <w:rsid w:val="006C2EF7"/>
    <w:rsid w:val="006D1FC5"/>
    <w:rsid w:val="006F504A"/>
    <w:rsid w:val="006F6BB0"/>
    <w:rsid w:val="00732307"/>
    <w:rsid w:val="00754681"/>
    <w:rsid w:val="00765E12"/>
    <w:rsid w:val="007B1D24"/>
    <w:rsid w:val="007B28A3"/>
    <w:rsid w:val="007B293D"/>
    <w:rsid w:val="007C770C"/>
    <w:rsid w:val="007F1E5F"/>
    <w:rsid w:val="007F4B12"/>
    <w:rsid w:val="00813014"/>
    <w:rsid w:val="0081564A"/>
    <w:rsid w:val="00844597"/>
    <w:rsid w:val="008521A5"/>
    <w:rsid w:val="00855CFE"/>
    <w:rsid w:val="0086131B"/>
    <w:rsid w:val="00866C9C"/>
    <w:rsid w:val="00897FCF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15CC2"/>
    <w:rsid w:val="00A37FBE"/>
    <w:rsid w:val="00A42413"/>
    <w:rsid w:val="00A9758C"/>
    <w:rsid w:val="00AB40E2"/>
    <w:rsid w:val="00AE705F"/>
    <w:rsid w:val="00B17890"/>
    <w:rsid w:val="00B7746F"/>
    <w:rsid w:val="00B84E36"/>
    <w:rsid w:val="00B9777E"/>
    <w:rsid w:val="00BA5873"/>
    <w:rsid w:val="00BA6645"/>
    <w:rsid w:val="00BD057C"/>
    <w:rsid w:val="00BD5944"/>
    <w:rsid w:val="00C3727D"/>
    <w:rsid w:val="00CC3126"/>
    <w:rsid w:val="00CE096C"/>
    <w:rsid w:val="00CE6898"/>
    <w:rsid w:val="00D07842"/>
    <w:rsid w:val="00D11451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B1345"/>
    <w:rsid w:val="00EE4C83"/>
    <w:rsid w:val="00F12F25"/>
    <w:rsid w:val="00F32749"/>
    <w:rsid w:val="00F846E2"/>
    <w:rsid w:val="00F90BF4"/>
    <w:rsid w:val="00F97D25"/>
    <w:rsid w:val="00FA34FA"/>
    <w:rsid w:val="00FB3912"/>
    <w:rsid w:val="00FB39A0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15CC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5CC2"/>
  </w:style>
  <w:style w:type="paragraph" w:styleId="ab">
    <w:name w:val="footer"/>
    <w:basedOn w:val="a"/>
    <w:link w:val="ac"/>
    <w:uiPriority w:val="99"/>
    <w:unhideWhenUsed/>
    <w:rsid w:val="00A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15CC2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5CC2"/>
  </w:style>
  <w:style w:type="paragraph" w:styleId="ab">
    <w:name w:val="footer"/>
    <w:basedOn w:val="a"/>
    <w:link w:val="ac"/>
    <w:uiPriority w:val="99"/>
    <w:unhideWhenUsed/>
    <w:rsid w:val="00A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E85F-1766-4E5F-AE06-EB21B6D3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3505</Words>
  <Characters>19984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bel_czn@rambler.ru</cp:lastModifiedBy>
  <cp:revision>4</cp:revision>
  <cp:lastPrinted>2021-12-22T06:14:00Z</cp:lastPrinted>
  <dcterms:created xsi:type="dcterms:W3CDTF">2024-10-10T04:59:00Z</dcterms:created>
  <dcterms:modified xsi:type="dcterms:W3CDTF">2024-10-25T09:53:00Z</dcterms:modified>
</cp:coreProperties>
</file>