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color w:val="00b05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b050"/>
          <w:highlight w:val="none"/>
        </w:rPr>
      </w:r>
      <w:r>
        <w:rPr>
          <w:color w:val="00b050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Существенными условиями договора о целевом обучении являются: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обязательства заказчика: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организации предоставления и (или) предоставлению гражданину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соответствии с договором о целевом обучении, предоставление в пользование и (или) оплату жилого помещения в период целевого обучения, и (или) других мер (далее - меры поддержки). Стороны договора о целевом обучении самостоятельно определяют перечень мер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ддержки с указанием порядка, сроков, а также размеров и (или) иных характеристик их предоставления (при необходимости);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трудоустройству гражданина в соответствии с полученной квалификацией (далее - трудоустройство) не позднее срока, установленного договором о целевом обучении (далее - срок трудоустройства), с указанием места осуществления трудовой деятельности в соответс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твии с полученной квалификацией;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обязательства гражданина: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осуществлению трудовой деятельности после завершения освоения образовательной программы в месте, определенном договором о целевом обучении, в течение не менее 3 лет и не более 5 лет (далее - срок трудовой деятельности) в соответствии с полученной квалиф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икацией с учетом трудоустройства в срок, установленный договором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Договором о целевом обучении могут предусматриваться условия: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 прохождении гражданином практической подготовки у заказчика или работодателя (далее - прохождение практической подготовки) и об индивидуальном сопровождении гражданина представителем заказчика или работодателя (наставником) (далее - сопровождение граж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данина наставником);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 требованиях заказчика к успеваемости гражданина (далее - требования к успеваемости) и возможности сокращения заказчиком мер поддержки при невыполнении гражданином этих требований.</w:t>
      </w:r>
      <w:r/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</w:r>
      <w:r/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333333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70c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70c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color w:val="auto"/>
        </w:rPr>
      </w:r>
      <w:r/>
    </w:p>
    <w:sectPr>
      <w:footnotePr/>
      <w:endnotePr/>
      <w:type w:val="nextPage"/>
      <w:pgSz w:w="11906" w:h="16838" w:orient="portrait"/>
      <w:pgMar w:top="709" w:right="850" w:bottom="11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2024-06-21T04:41:11Z</dcterms:modified>
</cp:coreProperties>
</file>