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Pr="006E06C4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05261" w:rsidRPr="006E0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05261" w:rsidRPr="006E06C4">
        <w:rPr>
          <w:rFonts w:ascii="Times New Roman" w:hAnsi="Times New Roman" w:cs="Times New Roman"/>
          <w:b/>
          <w:i/>
          <w:sz w:val="28"/>
          <w:szCs w:val="28"/>
        </w:rPr>
        <w:t xml:space="preserve"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и/или 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 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E06C4" w:rsidRPr="006E06C4" w:rsidRDefault="005D5813" w:rsidP="006E06C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Белоярский</w:t>
      </w:r>
      <w:r w:rsidR="006E06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 занятости населени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6E06C4" w:rsidRPr="006E0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6E06C4" w:rsidRPr="006E06C4">
        <w:rPr>
          <w:rFonts w:ascii="Times New Roman" w:hAnsi="Times New Roman" w:cs="Times New Roman"/>
          <w:b/>
          <w:i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и/или 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</w:t>
      </w:r>
      <w:proofErr w:type="gramEnd"/>
      <w:r w:rsidR="006E06C4" w:rsidRPr="006E06C4">
        <w:rPr>
          <w:rFonts w:ascii="Times New Roman" w:hAnsi="Times New Roman" w:cs="Times New Roman"/>
          <w:b/>
          <w:i/>
          <w:sz w:val="28"/>
          <w:szCs w:val="28"/>
        </w:rPr>
        <w:t xml:space="preserve"> заработной платы, проведение мероприятий по высвобождению работников </w:t>
      </w:r>
    </w:p>
    <w:p w:rsidR="000E70F5" w:rsidRPr="000E70F5" w:rsidRDefault="000E70F5" w:rsidP="006E06C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FE0B03" w:rsidRDefault="000E70F5" w:rsidP="00B429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 «</w:t>
      </w:r>
      <w:r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250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C9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</w:p>
    <w:p w:rsidR="000E70F5" w:rsidRPr="0081564A" w:rsidRDefault="000E70F5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06C4" w:rsidRPr="00B873C6" w:rsidRDefault="000E70F5" w:rsidP="006E0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6E06C4" w:rsidRPr="006E06C4">
        <w:rPr>
          <w:rFonts w:ascii="Times New Roman" w:hAnsi="Times New Roman" w:cs="Times New Roman"/>
          <w:sz w:val="28"/>
          <w:szCs w:val="28"/>
        </w:rPr>
        <w:t xml:space="preserve"> </w:t>
      </w:r>
      <w:r w:rsidR="00553CA1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553CA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553CA1">
        <w:rPr>
          <w:rFonts w:ascii="Times New Roman" w:hAnsi="Times New Roman" w:cs="Times New Roman"/>
          <w:sz w:val="28"/>
          <w:szCs w:val="28"/>
        </w:rPr>
        <w:t>. д.10</w:t>
      </w:r>
      <w:r w:rsidR="006E06C4" w:rsidRPr="00B873C6">
        <w:rPr>
          <w:rFonts w:ascii="Times New Roman" w:hAnsi="Times New Roman" w:cs="Times New Roman"/>
          <w:sz w:val="28"/>
          <w:szCs w:val="28"/>
        </w:rPr>
        <w:t>,</w:t>
      </w:r>
      <w:r w:rsidR="00553CA1">
        <w:rPr>
          <w:rFonts w:ascii="Times New Roman" w:hAnsi="Times New Roman" w:cs="Times New Roman"/>
          <w:sz w:val="28"/>
          <w:szCs w:val="28"/>
        </w:rPr>
        <w:t xml:space="preserve"> г. </w:t>
      </w:r>
      <w:r w:rsidR="00553CA1">
        <w:rPr>
          <w:rFonts w:ascii="Times New Roman" w:hAnsi="Times New Roman" w:cs="Times New Roman"/>
          <w:sz w:val="28"/>
          <w:szCs w:val="28"/>
        </w:rPr>
        <w:lastRenderedPageBreak/>
        <w:t>Белоярский</w:t>
      </w:r>
      <w:r w:rsidR="006E06C4" w:rsidRPr="00B873C6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- Югра, Тюменская область, индекс 628</w:t>
      </w:r>
      <w:r w:rsidR="00553CA1">
        <w:rPr>
          <w:rFonts w:ascii="Times New Roman" w:hAnsi="Times New Roman" w:cs="Times New Roman"/>
          <w:sz w:val="28"/>
          <w:szCs w:val="28"/>
        </w:rPr>
        <w:t>162</w:t>
      </w:r>
      <w:r w:rsidR="006E06C4" w:rsidRPr="00B873C6">
        <w:rPr>
          <w:rFonts w:ascii="Times New Roman" w:hAnsi="Times New Roman" w:cs="Times New Roman"/>
          <w:sz w:val="28"/>
          <w:szCs w:val="28"/>
        </w:rPr>
        <w:t>, телефон: (346</w:t>
      </w:r>
      <w:r w:rsidR="00553CA1" w:rsidRPr="00553CA1">
        <w:rPr>
          <w:rFonts w:ascii="Times New Roman" w:hAnsi="Times New Roman" w:cs="Times New Roman"/>
          <w:sz w:val="28"/>
          <w:szCs w:val="28"/>
        </w:rPr>
        <w:t>70</w:t>
      </w:r>
      <w:r w:rsidR="006E06C4" w:rsidRPr="00B873C6">
        <w:rPr>
          <w:rFonts w:ascii="Times New Roman" w:hAnsi="Times New Roman" w:cs="Times New Roman"/>
          <w:sz w:val="28"/>
          <w:szCs w:val="28"/>
        </w:rPr>
        <w:t xml:space="preserve">) </w:t>
      </w:r>
      <w:r w:rsidR="00553CA1" w:rsidRPr="00553CA1">
        <w:rPr>
          <w:rFonts w:ascii="Times New Roman" w:hAnsi="Times New Roman" w:cs="Times New Roman"/>
          <w:sz w:val="28"/>
          <w:szCs w:val="28"/>
        </w:rPr>
        <w:t>2-18-74</w:t>
      </w:r>
      <w:r w:rsidR="006E06C4">
        <w:rPr>
          <w:rFonts w:ascii="Times New Roman" w:hAnsi="Times New Roman" w:cs="Times New Roman"/>
          <w:sz w:val="28"/>
          <w:szCs w:val="28"/>
        </w:rPr>
        <w:t xml:space="preserve">, </w:t>
      </w:r>
      <w:r w:rsidR="006E06C4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6E06C4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6E06C4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6E06C4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8" w:history="1"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bel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553CA1" w:rsidRPr="0046006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при</w:t>
      </w:r>
      <w:r w:rsidRPr="00B429C0">
        <w:rPr>
          <w:rFonts w:ascii="Times New Roman" w:hAnsi="Times New Roman" w:cs="Times New Roman"/>
          <w:sz w:val="28"/>
          <w:szCs w:val="28"/>
        </w:rPr>
        <w:t xml:space="preserve">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</w:t>
      </w:r>
      <w:r w:rsidR="00E440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429C0">
        <w:rPr>
          <w:rFonts w:ascii="Times New Roman" w:hAnsi="Times New Roman" w:cs="Times New Roman"/>
          <w:sz w:val="28"/>
          <w:szCs w:val="28"/>
        </w:rPr>
        <w:t xml:space="preserve"> количество трудоустроенных на временные работы граждан из числа работников организаций, находящихся под риском увольнения и сохранивших свою занятость, на </w:t>
      </w:r>
      <w:r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 о предоставлении субсидии.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70D">
        <w:rPr>
          <w:rFonts w:ascii="Times New Roman" w:hAnsi="Times New Roman" w:cs="Times New Roman"/>
          <w:sz w:val="28"/>
          <w:szCs w:val="28"/>
        </w:rPr>
        <w:t>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организаций, находящихся под риском увольнения.</w:t>
      </w:r>
    </w:p>
    <w:p w:rsidR="006E06C4" w:rsidRPr="002D6C92" w:rsidRDefault="002D6C92" w:rsidP="006E0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1C7684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 xml:space="preserve">в разделе «Работодателям» → «Отбор работодателей для предоставления субсидии» </w:t>
      </w:r>
      <w:r w:rsidR="006E06C4" w:rsidRPr="005E7DCC">
        <w:rPr>
          <w:rFonts w:ascii="Times New Roman" w:hAnsi="Times New Roman" w:cs="Times New Roman"/>
          <w:sz w:val="28"/>
          <w:szCs w:val="28"/>
        </w:rPr>
        <w:t>((</w:t>
      </w:r>
      <w:r w:rsidR="006E06C4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</w:t>
      </w:r>
      <w:r w:rsidR="006E06C4" w:rsidRPr="004B3839">
        <w:rPr>
          <w:rFonts w:ascii="Times New Roman" w:hAnsi="Times New Roman" w:cs="Times New Roman"/>
          <w:sz w:val="28"/>
          <w:szCs w:val="28"/>
        </w:rPr>
        <w:lastRenderedPageBreak/>
        <w:t>%80_%D1%80%D0%B0%D0%B1%D0%BE%D1%82%D0%BE%D0%B4%D0%B0%D1%82%D0%B5%D0%BB%D0%B5%D0%B9_%D0%B4%D0%BB%D1%8F_%D0%BF%D1%80%D0%B5%D0%B4%D0%BE%D1%81%D1%82%D0%B0%D0%B2%D0%BB%D0%B5%D0%BD%D0%B8%D1%8F_%D1%81%D1%83%D0%B1%D1%81%D0%B8%D0%B4%D0%B8%D0%B8</w:t>
      </w:r>
      <w:r w:rsidR="006E06C4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4 Порядк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 xml:space="preserve">ов, установленных приложениями 1, 3 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lastRenderedPageBreak/>
        <w:t>к</w:t>
      </w:r>
      <w:r w:rsidR="00897096" w:rsidRPr="00897096">
        <w:t xml:space="preserve">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897096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25FDC" w:rsidRPr="00AB40E2" w:rsidRDefault="002D6CC4" w:rsidP="002D6C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495ACF" w:rsidRDefault="00495AC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 и физических лиц); по форме 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утвержденной Департаментом – для некоммерческих организаций</w:t>
      </w:r>
      <w:r w:rsidR="003C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5FDC" w:rsidRPr="00025FDC" w:rsidRDefault="00025FDC" w:rsidP="0002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FDC">
        <w:rPr>
          <w:rFonts w:ascii="Times New Roman" w:hAnsi="Times New Roman" w:cs="Times New Roman"/>
          <w:i/>
          <w:sz w:val="28"/>
          <w:szCs w:val="28"/>
        </w:rPr>
        <w:t>указывается если отбор проводится для организации временного трудоустройства работников организаций,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lastRenderedPageBreak/>
        <w:t>том числе порядок их подачи;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документы:</w:t>
      </w:r>
    </w:p>
    <w:p w:rsidR="00AB30FA" w:rsidRPr="0087414F" w:rsidRDefault="00AB30FA" w:rsidP="002427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242733" w:rsidRPr="0087414F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87414F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87414F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87414F">
        <w:rPr>
          <w:rFonts w:ascii="Times New Roman" w:hAnsi="Times New Roman" w:cs="Times New Roman"/>
          <w:sz w:val="28"/>
          <w:szCs w:val="28"/>
        </w:rPr>
        <w:t>)</w:t>
      </w:r>
      <w:r w:rsidRPr="0087414F">
        <w:rPr>
          <w:rFonts w:ascii="Times New Roman" w:hAnsi="Times New Roman" w:cs="Times New Roman"/>
          <w:sz w:val="28"/>
          <w:szCs w:val="28"/>
        </w:rPr>
        <w:t>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C4103" w:rsidRPr="003F3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3F3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905625" w:rsidRPr="005432D8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53CA1" w:rsidRP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509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Start w:id="2" w:name="_GoBack"/>
      <w:bookmarkEnd w:id="2"/>
      <w:r w:rsidR="00553CA1" w:rsidRP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</w:t>
      </w:r>
      <w:r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 размещения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31 мая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 </w:t>
      </w:r>
      <w:r w:rsid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70)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CA1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671E8A" w:rsidRPr="003F3308">
        <w:rPr>
          <w:rFonts w:ascii="Times New Roman" w:hAnsi="Times New Roman" w:cs="Times New Roman"/>
          <w:sz w:val="28"/>
          <w:szCs w:val="28"/>
        </w:rPr>
        <w:t>1</w:t>
      </w:r>
      <w:r w:rsidR="00671E8A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</w:t>
      </w:r>
      <w:r w:rsidR="0056437D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671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56437D">
        <w:rPr>
          <w:rFonts w:ascii="Times New Roman" w:hAnsi="Times New Roman" w:cs="Times New Roman"/>
          <w:sz w:val="28"/>
          <w:szCs w:val="28"/>
        </w:rPr>
        <w:t>5</w:t>
      </w:r>
      <w:r w:rsidR="0073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56437D">
        <w:rPr>
          <w:rFonts w:ascii="Times New Roman" w:hAnsi="Times New Roman" w:cs="Times New Roman"/>
          <w:sz w:val="28"/>
          <w:szCs w:val="28"/>
        </w:rPr>
        <w:t>5</w:t>
      </w:r>
      <w:r w:rsidR="00C7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на снижение напряженности на рынке труда Ханты-Мансийского автономного округа - Югры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Югры</w:t>
      </w:r>
      <w:r w:rsidR="003F3308"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</w:t>
      </w:r>
      <w:r w:rsidRPr="004E3BA0">
        <w:rPr>
          <w:rFonts w:ascii="Times New Roman" w:hAnsi="Times New Roman"/>
          <w:sz w:val="26"/>
          <w:szCs w:val="26"/>
        </w:rPr>
        <w:lastRenderedPageBreak/>
        <w:t xml:space="preserve">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87414F" w:rsidRPr="004E3BA0" w:rsidRDefault="0087414F" w:rsidP="0087414F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87414F" w:rsidRPr="004E3BA0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660D3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87414F" w:rsidRDefault="0087414F" w:rsidP="008741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7414F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№   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EC3283">
      <w:headerReference w:type="default" r:id="rId9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F5" w:rsidRDefault="00B945F5" w:rsidP="00C2774C">
      <w:pPr>
        <w:spacing w:after="0" w:line="240" w:lineRule="auto"/>
      </w:pPr>
      <w:r>
        <w:separator/>
      </w:r>
    </w:p>
  </w:endnote>
  <w:endnote w:type="continuationSeparator" w:id="0">
    <w:p w:rsidR="00B945F5" w:rsidRDefault="00B945F5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F5" w:rsidRDefault="00B945F5" w:rsidP="00C2774C">
      <w:pPr>
        <w:spacing w:after="0" w:line="240" w:lineRule="auto"/>
      </w:pPr>
      <w:r>
        <w:separator/>
      </w:r>
    </w:p>
  </w:footnote>
  <w:footnote w:type="continuationSeparator" w:id="0">
    <w:p w:rsidR="00B945F5" w:rsidRDefault="00B945F5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097211"/>
      <w:docPartObj>
        <w:docPartGallery w:val="Page Numbers (Top of Page)"/>
        <w:docPartUnique/>
      </w:docPartObj>
    </w:sdtPr>
    <w:sdtEndPr/>
    <w:sdtContent>
      <w:p w:rsidR="00C2774C" w:rsidRDefault="00C27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3">
          <w:rPr>
            <w:noProof/>
          </w:rPr>
          <w:t>14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7250C"/>
    <w:rsid w:val="000805A0"/>
    <w:rsid w:val="00090095"/>
    <w:rsid w:val="000A21D7"/>
    <w:rsid w:val="000B45B8"/>
    <w:rsid w:val="000E70F5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D6A65"/>
    <w:rsid w:val="004E776B"/>
    <w:rsid w:val="00505261"/>
    <w:rsid w:val="005411E7"/>
    <w:rsid w:val="005432D8"/>
    <w:rsid w:val="00553CA1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D0A16"/>
    <w:rsid w:val="006E06C4"/>
    <w:rsid w:val="006F504A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5092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11C0A"/>
    <w:rsid w:val="00A37FBE"/>
    <w:rsid w:val="00A9758C"/>
    <w:rsid w:val="00AB30FA"/>
    <w:rsid w:val="00AB40E2"/>
    <w:rsid w:val="00AE705F"/>
    <w:rsid w:val="00B2691D"/>
    <w:rsid w:val="00B429C0"/>
    <w:rsid w:val="00B7746F"/>
    <w:rsid w:val="00B84E36"/>
    <w:rsid w:val="00B945F5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9432B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401D"/>
    <w:rsid w:val="00E65A8A"/>
    <w:rsid w:val="00E731D1"/>
    <w:rsid w:val="00E83A65"/>
    <w:rsid w:val="00E93CE0"/>
    <w:rsid w:val="00EC3283"/>
    <w:rsid w:val="00EC7CF2"/>
    <w:rsid w:val="00F12F25"/>
    <w:rsid w:val="00F32749"/>
    <w:rsid w:val="00F54843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el_czn@admhm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0005-3CF6-4583-8849-54068B7C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3263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bel_czn@rambler.ru</cp:lastModifiedBy>
  <cp:revision>8</cp:revision>
  <dcterms:created xsi:type="dcterms:W3CDTF">2023-03-23T12:35:00Z</dcterms:created>
  <dcterms:modified xsi:type="dcterms:W3CDTF">2023-05-19T04:40:00Z</dcterms:modified>
</cp:coreProperties>
</file>