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при реализации мероприятий: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безработных граждан, испытывающих трудности в поиске работы;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«Мегионский центр занятости населения» проводится отбор получателей субсидии при реализации мероприятий: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безработных граждан, испытывающих трудности в поиске работы;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мероприятий (далее – предложение, отбор), направленных работодателями для участия в отборе.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14 июля 2021 года, 09 часов 00 минут до 15 октября 2021 года 17 часов 00 минут.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Мегион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628681 Российская Федерация, Ханты-Мансийский автономный округ - Югра,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Мегион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Сутормина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 14</w:t>
      </w:r>
    </w:p>
    <w:p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meg_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@admhmao.ru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(34643) 2-44-49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 о предоставлении субсидии.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по организации временного трудоустройства безработных граждан, испытывающих трудности в поиске работы,  организации проведения оплачиваемых общественных работ для не занятых трудовой деятельностью и безработных граждан, организации стажировки выпускников профессиональных образовательных организаций и образовательных организаций высшего образования в возрасте до 25 лет, организации временного трудоустройства безработных граждан в возрасте от 18 до 20 лет, имеющих среднее профессиональное образование и ищущих работу впервые, содействию временному трудоустройству в организациях коммерческого сегмента рынка труда лиц, освобожденных из учреждений,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исполняющих наказания в виде лишения свободы на дату завершения срока действия соглашения о предоставлении субсидии.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соответствовать на дату представления предложения в центр занятости населения: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индивидуальных предпринимателей, глав крестьянских (фермерских) хозяйств);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компенсация расходов работодателя по оплате труда граждан, участвующих в мероприятиях временного и постоянного трудоустройства;</w:t>
      </w:r>
    </w:p>
    <w:p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индивидуальных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предпринимателей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имени работодателя (в случае обращения в центр занятости населения представителя работодателя);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центр занятости населения принимает решение о предоставлении субсидии.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 с </w:t>
      </w:r>
      <w:r>
        <w:rPr>
          <w:rFonts w:ascii="Times New Roman" w:eastAsia="Times New Roman" w:hAnsi="Times New Roman" w:cs="Times New Roman"/>
          <w:sz w:val="28"/>
          <w:szCs w:val="28"/>
        </w:rPr>
        <w:t>14 июля 2021 года по 15 октября 2021 года.</w:t>
      </w:r>
    </w:p>
    <w:p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(34643) 22116.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Срок, в течение которого получатель субсидии должен подписать соглашение о предоставлении субсидии (далее – Соглашение):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отбора</w:t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 «Мегионский центр занятости населения»</w:t>
      </w: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Н.Р. Карповой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какие,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(подпись)                      (расшифровка подписи)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работодателя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</w:t>
            </w:r>
          </w:p>
        </w:tc>
      </w:tr>
      <w:tr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организации временных рабочих мест</w:t>
            </w:r>
          </w:p>
        </w:tc>
      </w:tr>
      <w:tr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работодателя: 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временного трудоустройства безработных граждан, испытывающих трудности в поиске работы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>
        <w:rPr>
          <w:rFonts w:ascii="Times New Roman" w:hAnsi="Times New Roman" w:cs="Times New Roman"/>
          <w:sz w:val="22"/>
          <w:szCs w:val="24"/>
        </w:rPr>
        <w:t>СПРАВКА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«__» _________ 20___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>
        <w:tc>
          <w:tcPr>
            <w:tcW w:w="2977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c>
          <w:tcPr>
            <w:tcW w:w="2977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c>
          <w:tcPr>
            <w:tcW w:w="2977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>
        <w:tc>
          <w:tcPr>
            <w:tcW w:w="2977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2"/>
          <w:szCs w:val="24"/>
        </w:rPr>
        <w:t xml:space="preserve">            (подпись)        (расшифровка подписи)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(</w:t>
      </w:r>
      <w:proofErr w:type="gramStart"/>
      <w:r>
        <w:rPr>
          <w:rFonts w:ascii="Times New Roman" w:hAnsi="Times New Roman" w:cs="Times New Roman"/>
          <w:sz w:val="22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2"/>
          <w:szCs w:val="24"/>
        </w:rPr>
        <w:t xml:space="preserve">                (фамилия, имя, отчество)            (телефон)</w:t>
      </w:r>
    </w:p>
    <w:p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«__» ___________ 20__г.</w:t>
      </w:r>
    </w:p>
    <w:sectPr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619"/>
    <w:multiLevelType w:val="hybridMultilevel"/>
    <w:tmpl w:val="87F42802"/>
    <w:lvl w:ilvl="0" w:tplc="AE5207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D5D9B-63A5-4438-9405-3576A45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  <w:webHidden w:val="0"/>
      <w:spec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n-koga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2F1D-4D51-4511-9C00-13E17904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Грабовская Елена Леонидовна</cp:lastModifiedBy>
  <cp:revision>8</cp:revision>
  <dcterms:created xsi:type="dcterms:W3CDTF">2021-03-15T10:33:00Z</dcterms:created>
  <dcterms:modified xsi:type="dcterms:W3CDTF">2021-06-29T11:29:00Z</dcterms:modified>
</cp:coreProperties>
</file>