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</w:t>
      </w:r>
      <w:proofErr w:type="gramStart"/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50D5B" w:rsidRPr="00450D5B" w:rsidRDefault="00450D5B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5B7A69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</w:t>
      </w: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инвалидностью и их адаптация на рынке труда» подпрограммы 4 «Сопровождение инвалидов, включая инвалидов молодого возраста, при трудоустройс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Pr="00450D5B" w:rsidRDefault="00450D5B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лет.</w:t>
      </w:r>
    </w:p>
    <w:p w:rsidR="005D5813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лет.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E237AB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7AB">
        <w:rPr>
          <w:rFonts w:ascii="Times New Roman" w:hAnsi="Times New Roman" w:cs="Times New Roman"/>
          <w:color w:val="000000"/>
          <w:sz w:val="28"/>
          <w:szCs w:val="28"/>
        </w:rPr>
        <w:t>августа 2021 года, 09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7AB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37A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37AB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37AB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5) 7-02-43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« </w:t>
      </w:r>
      <w:r w:rsidR="00231750">
        <w:rPr>
          <w:rFonts w:ascii="Times New Roman" w:hAnsi="Times New Roman" w:cs="Times New Roman"/>
          <w:sz w:val="28"/>
          <w:szCs w:val="28"/>
        </w:rPr>
        <w:t>Югорский</w:t>
      </w:r>
      <w:proofErr w:type="gramEnd"/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231750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</w:p>
    <w:p w:rsidR="00CC0D8D" w:rsidRPr="0073085D" w:rsidRDefault="00CC0D8D" w:rsidP="00CC0D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C0D8D" w:rsidRPr="004E09BB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C0D8D" w:rsidRPr="006F7A91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</w:t>
      </w:r>
      <w:proofErr w:type="gramStart"/>
      <w:r w:rsidRPr="00AE65D7">
        <w:rPr>
          <w:rFonts w:ascii="Times New Roman" w:hAnsi="Times New Roman"/>
          <w:sz w:val="28"/>
          <w:szCs w:val="28"/>
        </w:rPr>
        <w:t>соответствие  требованиям</w:t>
      </w:r>
      <w:proofErr w:type="gramEnd"/>
      <w:r w:rsidRPr="00AE65D7">
        <w:rPr>
          <w:rFonts w:ascii="Times New Roman" w:hAnsi="Times New Roman"/>
          <w:sz w:val="28"/>
          <w:szCs w:val="28"/>
        </w:rPr>
        <w:t>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C0D8D" w:rsidRDefault="00B92A37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CC0D8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CC0D8D" w:rsidRPr="00B92A37" w:rsidRDefault="00CC0D8D" w:rsidP="00B92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</w:t>
      </w:r>
      <w:r w:rsidR="00B92A37">
        <w:rPr>
          <w:rFonts w:ascii="Times New Roman" w:hAnsi="Times New Roman"/>
          <w:sz w:val="20"/>
          <w:szCs w:val="20"/>
        </w:rPr>
        <w:t>ия (</w:t>
      </w:r>
      <w:proofErr w:type="spellStart"/>
      <w:r w:rsidR="00B92A37">
        <w:rPr>
          <w:rFonts w:ascii="Times New Roman" w:hAnsi="Times New Roman"/>
          <w:sz w:val="20"/>
          <w:szCs w:val="20"/>
        </w:rPr>
        <w:t>чч.мм.гггг</w:t>
      </w:r>
      <w:proofErr w:type="spellEnd"/>
      <w:r w:rsidR="00B92A37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Default="00B92A37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</w:t>
      </w:r>
      <w:r w:rsidR="00CC0D8D">
        <w:rPr>
          <w:rFonts w:ascii="Times New Roman" w:hAnsi="Times New Roman"/>
          <w:sz w:val="28"/>
          <w:szCs w:val="28"/>
        </w:rPr>
        <w:t>бухгалтер 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C0D8D" w:rsidRPr="00B92A37" w:rsidRDefault="00B92A37" w:rsidP="00B92A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CC0D8D"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="00CC0D8D"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="00CC0D8D"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="00B92A3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CC0D8D" w:rsidRPr="00046AFF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046AFF" w:rsidRDefault="00CC0D8D" w:rsidP="00CC0D8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0D8D" w:rsidRPr="00AE65D7" w:rsidRDefault="00CC0D8D" w:rsidP="00CC0D8D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92A3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0D8D" w:rsidRPr="00AE65D7" w:rsidRDefault="00CC0D8D" w:rsidP="00CC0D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C0D8D" w:rsidRPr="00AE65D7" w:rsidRDefault="00CC0D8D" w:rsidP="00CC0D8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C0D8D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C0D8D" w:rsidRDefault="00CC0D8D" w:rsidP="00CC0D8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CC0D8D" w:rsidRPr="00AB0F32" w:rsidRDefault="00CC0D8D" w:rsidP="00CC0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087B65">
        <w:trPr>
          <w:trHeight w:val="315"/>
        </w:trPr>
        <w:tc>
          <w:tcPr>
            <w:tcW w:w="154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A43C1" w:rsidRDefault="002A43C1" w:rsidP="002A43C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      </w:r>
          </w:p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365C09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64D60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E237AB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Информация об </w:t>
            </w:r>
            <w:bookmarkStart w:id="1" w:name="_GoBack"/>
            <w:bookmarkEnd w:id="1"/>
            <w:r w:rsidR="002C6013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93209A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безработных граждан, испытывающих трудности в поиске работы</w:t>
            </w:r>
          </w:p>
        </w:tc>
      </w:tr>
      <w:tr w:rsidR="002A43C1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временного трудоустройства граждан </w:t>
            </w:r>
            <w:proofErr w:type="spellStart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74EBF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280C"/>
    <w:rsid w:val="002A43C1"/>
    <w:rsid w:val="002B16E9"/>
    <w:rsid w:val="002C6013"/>
    <w:rsid w:val="00311859"/>
    <w:rsid w:val="00371614"/>
    <w:rsid w:val="003A6E84"/>
    <w:rsid w:val="003C0CB3"/>
    <w:rsid w:val="003C66D7"/>
    <w:rsid w:val="003D72A8"/>
    <w:rsid w:val="00414DB2"/>
    <w:rsid w:val="00420476"/>
    <w:rsid w:val="00445324"/>
    <w:rsid w:val="00450D5B"/>
    <w:rsid w:val="004A1584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542A2"/>
    <w:rsid w:val="00765E12"/>
    <w:rsid w:val="007B28A3"/>
    <w:rsid w:val="007D1C8B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237AB"/>
    <w:rsid w:val="00E3764E"/>
    <w:rsid w:val="00E65A8A"/>
    <w:rsid w:val="00E83A65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3C18-427C-46F4-9A96-7FB7BCC5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3601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Ольга Сергеевна Голубчикова</cp:lastModifiedBy>
  <cp:revision>5</cp:revision>
  <cp:lastPrinted>2021-04-13T07:23:00Z</cp:lastPrinted>
  <dcterms:created xsi:type="dcterms:W3CDTF">2021-05-17T05:24:00Z</dcterms:created>
  <dcterms:modified xsi:type="dcterms:W3CDTF">2021-07-20T09:02:00Z</dcterms:modified>
</cp:coreProperties>
</file>